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2018年禁毒补助经费项目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塔什库尔干县公安局</w:t>
      </w:r>
    </w:p>
    <w:p>
      <w:pPr>
        <w:pStyle w:val="48"/>
        <w:tabs>
          <w:tab w:val="center" w:pos="4153"/>
        </w:tabs>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ab/>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宝力代</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 xml:space="preserve"> </w:t>
      </w:r>
      <w:r>
        <w:rPr>
          <w:rFonts w:hint="eastAsia" w:ascii="仿宋_GB2312" w:hAnsi="仿宋_GB2312" w:eastAsia="仿宋_GB2312" w:cs="仿宋_GB2312"/>
          <w:kern w:val="0"/>
          <w:sz w:val="36"/>
          <w:szCs w:val="36"/>
          <w:lang w:val="en-US" w:eastAsia="zh-CN"/>
        </w:rPr>
        <w:t>30</w:t>
      </w:r>
      <w:r>
        <w:rPr>
          <w:rFonts w:hint="eastAsia" w:ascii="仿宋_GB2312" w:hAnsi="仿宋_GB2312" w:eastAsia="仿宋_GB2312" w:cs="仿宋_GB2312"/>
          <w:kern w:val="0"/>
          <w:sz w:val="36"/>
          <w:szCs w:val="36"/>
          <w:lang w:val="zh-TW"/>
        </w:rPr>
        <w:t xml:space="preserve"> </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1、主要职能</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是主管全县公安工作的政府工作部门，是不同于一般行政机关的具有武装性质的国家治安行政管理和刑事执法部门。主要有以下职责：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安全监察工作;负责承担被判处拘役、有期徒刑、缓刑、管制、剥夺政治权利和被假释犯的监督考察任务；法律、法规规定的其他职责。</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2、机构情况及人员情况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塔什库尔干塔吉克自治县公安局为正科级单位，具体机构设置：内设综合管理机构3个，执法勤务机构11个，派出机构5个，监管场所2个。</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总编制数112名，其中行政编制85名，工勤编制2名，事业编制25名。2018年实有在职人数行政编制96人，事业编制22人。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上级补助业务经费是公安机关禁毒部门日常执法支出的重要内容，对确保有效履行职责、促进经济社会</w:t>
      </w:r>
      <w:r>
        <w:rPr>
          <w:rFonts w:hint="eastAsia" w:ascii="仿宋" w:hAnsi="仿宋" w:eastAsia="仿宋"/>
          <w:bCs/>
          <w:color w:val="auto"/>
          <w:spacing w:val="-4"/>
          <w:sz w:val="32"/>
          <w:szCs w:val="32"/>
          <w:lang w:val="en-US" w:eastAsia="zh-CN"/>
        </w:rPr>
        <w:t>和谐</w:t>
      </w:r>
      <w:bookmarkStart w:id="0" w:name="_GoBack"/>
      <w:bookmarkEnd w:id="0"/>
      <w:r>
        <w:rPr>
          <w:rFonts w:hint="eastAsia" w:ascii="仿宋" w:hAnsi="仿宋" w:eastAsia="仿宋"/>
          <w:bCs/>
          <w:color w:val="auto"/>
          <w:spacing w:val="-4"/>
          <w:sz w:val="32"/>
          <w:szCs w:val="32"/>
        </w:rPr>
        <w:t>起着十分重要的作用。</w:t>
      </w:r>
      <w:r>
        <w:rPr>
          <w:rFonts w:hint="eastAsia" w:ascii="仿宋" w:hAnsi="仿宋" w:eastAsia="仿宋"/>
          <w:bCs/>
          <w:color w:val="auto"/>
          <w:spacing w:val="-4"/>
          <w:sz w:val="32"/>
          <w:szCs w:val="32"/>
          <w:lang w:val="en-US" w:eastAsia="zh-CN"/>
        </w:rPr>
        <w:t>用于</w:t>
      </w:r>
      <w:r>
        <w:rPr>
          <w:rFonts w:hint="eastAsia" w:ascii="仿宋" w:hAnsi="仿宋" w:eastAsia="仿宋"/>
          <w:bCs/>
          <w:color w:val="auto"/>
          <w:spacing w:val="-4"/>
          <w:sz w:val="32"/>
          <w:szCs w:val="32"/>
        </w:rPr>
        <w:t>开展禁毒宣传品、毒品案件办理、社区康复社区戒毒</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解决开展禁毒工作的交通费等办公各项费用。</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val="en-US" w:eastAsia="zh-CN"/>
        </w:rPr>
        <w:t>延续性项目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上级补助禁毒经费是各级党委、政府将财政资金对公安机关的再分配，对经济落后地区公安机关实行补助的措施，是加强公安禁毒队伍正规化建设，提升公安禁毒队伍战斗力，确保圆满完成各项禁毒工作的重要物质基础。主要包括禁毒宣传、毒品案件办理、社区康复社区戒毒、执法执勤用交通工具的维护保养。</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2018年禁毒补助经费</w:t>
      </w:r>
      <w:r>
        <w:rPr>
          <w:rFonts w:hint="eastAsia" w:ascii="仿宋" w:hAnsi="仿宋" w:eastAsia="仿宋"/>
          <w:bCs/>
          <w:color w:val="auto"/>
          <w:spacing w:val="-4"/>
          <w:sz w:val="32"/>
          <w:szCs w:val="32"/>
        </w:rPr>
        <w:t>项目预算安排总额为</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rPr>
        <w:t>万元</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2018年实际收到预算资金</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。项目资金主要用于支付</w:t>
      </w:r>
      <w:r>
        <w:rPr>
          <w:rFonts w:hint="eastAsia" w:ascii="仿宋" w:hAnsi="仿宋" w:eastAsia="仿宋"/>
          <w:bCs/>
          <w:color w:val="auto"/>
          <w:spacing w:val="-4"/>
          <w:sz w:val="32"/>
          <w:szCs w:val="32"/>
          <w:lang w:val="en-US" w:eastAsia="zh-CN"/>
        </w:rPr>
        <w:t>办公费0.96万元、印刷费0.88万元、差旅费0.87万元、维修（护）费0.93万元、培训费0.76万元、车辆燃油费及修理费3.6万元。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禁毒经费支出范围</w:t>
      </w:r>
      <w:r>
        <w:rPr>
          <w:rFonts w:hint="eastAsia" w:ascii="仿宋" w:hAnsi="仿宋" w:eastAsia="仿宋"/>
          <w:bCs/>
          <w:color w:val="auto"/>
          <w:spacing w:val="-4"/>
          <w:sz w:val="32"/>
          <w:szCs w:val="32"/>
        </w:rPr>
        <w:t>，包括会计人员集中核算工作管理制度、财务收支审批制度、财务稽核制度、财务牵制制度、会计主管岗位职责等制度规定，资金的拨付有完整的审批程序和手续，不存在截留、挤占、挪用等情况。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实行单独会计核算，统一经费支出范围，确保全部支出项目及时录入“中央和省级公安转移支付资金管理信息系统”，实现收支网上录入、收支网上管理、绩效网上考核的管理新机制，实现对资金的动态监控管理。</w:t>
      </w:r>
      <w:r>
        <w:rPr>
          <w:rFonts w:hint="eastAsia" w:ascii="仿宋" w:hAnsi="仿宋" w:eastAsia="仿宋"/>
          <w:bCs/>
          <w:color w:val="auto"/>
          <w:spacing w:val="-4"/>
          <w:sz w:val="32"/>
          <w:szCs w:val="32"/>
          <w:lang w:val="en-US" w:eastAsia="zh-CN"/>
        </w:rPr>
        <w:t>上级公安机关</w:t>
      </w:r>
      <w:r>
        <w:rPr>
          <w:rFonts w:hint="eastAsia" w:ascii="仿宋" w:hAnsi="仿宋" w:eastAsia="仿宋"/>
          <w:bCs/>
          <w:color w:val="auto"/>
          <w:spacing w:val="-4"/>
          <w:sz w:val="32"/>
          <w:szCs w:val="32"/>
        </w:rPr>
        <w:t>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效率性：全年破获毒品犯罪案件2起，缴获大麻1千克，抓获毒品犯罪人数4人，非法种植毒品0株。从质量指标上分析资金使用完成率达到100%，全县开展禁毒宣传工作覆盖率达到100%。</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rPr>
      </w:pPr>
      <w:r>
        <w:rPr>
          <w:rStyle w:val="18"/>
          <w:rFonts w:hint="eastAsia" w:ascii="仿宋" w:hAnsi="仿宋" w:eastAsia="仿宋"/>
          <w:b w:val="0"/>
          <w:color w:val="auto"/>
          <w:spacing w:val="-4"/>
          <w:sz w:val="32"/>
          <w:szCs w:val="32"/>
        </w:rPr>
        <w:t>效益性：全县吸食新型毒品人员增长势头得到了有效遏制，社会公众对禁毒工作认知度达到90%,比预期≥80%上升10%。从可持续影响指标上分析发挥社会作用的可持续性达到1年。从满意度指标分析社会公众对禁毒工作满意度达到95%，比预期上升5%。</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不存在未完成情况</w:t>
      </w:r>
      <w:r>
        <w:rPr>
          <w:rFonts w:ascii="仿宋" w:hAnsi="仿宋" w:eastAsia="仿宋"/>
          <w:color w:val="auto"/>
          <w:spacing w:val="-4"/>
          <w:sz w:val="32"/>
          <w:szCs w:val="32"/>
        </w:rPr>
        <w:t>:</w:t>
      </w: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一是严格按照项目资金使用范围加快资金使用进度；二是加强绩效管理，健全相关制度，加强绩效跟踪监控，提高资金使用效益。</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县公安局不断加大禁毒宣传投入力度，全民禁毒意识进一步增强。</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随着社会的发展、经济水平的提高以及公安禁毒业务发展的需要，用于装备经费的开支呈刚性增长，实际资金缺口较大。由于该部分资金缺口由我局自筹解决，造成了我局财力相对紧张的情况。</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加大公安禁毒装备投入，提高公安禁毒装备的科技含量。</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2018年禁毒补助经费</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塔县禁毒补助经费</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rPr>
          <w:rStyle w:val="18"/>
          <w:rFonts w:hint="eastAsia" w:ascii="仿宋" w:hAnsi="仿宋" w:eastAsia="仿宋"/>
          <w:color w:val="FF000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ECAB60"/>
    <w:multiLevelType w:val="singleLevel"/>
    <w:tmpl w:val="F5ECAB6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AB56CE2"/>
    <w:rsid w:val="0EB107EC"/>
    <w:rsid w:val="1AE95861"/>
    <w:rsid w:val="21454B50"/>
    <w:rsid w:val="275833BE"/>
    <w:rsid w:val="397F4FE8"/>
    <w:rsid w:val="3C9D5DF2"/>
    <w:rsid w:val="3FDC24D0"/>
    <w:rsid w:val="43582286"/>
    <w:rsid w:val="4EFD6A38"/>
    <w:rsid w:val="5A7F02EA"/>
    <w:rsid w:val="65E712A1"/>
    <w:rsid w:val="67445AF0"/>
    <w:rsid w:val="75993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7"/>
    <w:qFormat/>
    <w:uiPriority w:val="0"/>
    <w:rPr>
      <w:rFonts w:hint="default" w:ascii="Times New Roman" w:hAnsi="Times New Roman" w:cs="Times New Roman"/>
      <w:color w:val="000000"/>
      <w:sz w:val="24"/>
      <w:szCs w:val="24"/>
      <w:u w:val="none"/>
    </w:rPr>
  </w:style>
  <w:style w:type="character" w:customStyle="1" w:styleId="50">
    <w:name w:val="font01"/>
    <w:basedOn w:val="17"/>
    <w:qFormat/>
    <w:uiPriority w:val="0"/>
    <w:rPr>
      <w:rFonts w:hint="eastAsia" w:ascii="宋体" w:hAnsi="宋体" w:eastAsia="宋体" w:cs="宋体"/>
      <w:color w:val="000000"/>
      <w:sz w:val="24"/>
      <w:szCs w:val="24"/>
      <w:u w:val="none"/>
    </w:rPr>
  </w:style>
  <w:style w:type="character" w:customStyle="1" w:styleId="51">
    <w:name w:val="font11"/>
    <w:basedOn w:val="1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2019-09-22T09:58:24Z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